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48AFF692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FF1654" w14:textId="29DFB8B3" w:rsidR="00614CDA" w:rsidRPr="00614CDA" w:rsidRDefault="00614CDA" w:rsidP="00614CDA">
            <w:pPr>
              <w:spacing w:before="60" w:after="60"/>
              <w:contextualSpacing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Milieu </w:t>
            </w:r>
            <w:r w:rsidR="004300A3">
              <w:rPr>
                <w:rFonts w:ascii="Arial" w:eastAsia="ＭＳ 明朝" w:hAnsi="Arial" w:cs="Arial"/>
                <w:sz w:val="28"/>
                <w:szCs w:val="28"/>
              </w:rPr>
              <w:t>communautaire</w:t>
            </w: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 – </w:t>
            </w:r>
            <w:r w:rsidR="004300A3" w:rsidRPr="006B62FC">
              <w:rPr>
                <w:rFonts w:ascii="Arial" w:eastAsia="ＭＳ 明朝" w:hAnsi="Arial" w:cs="Arial"/>
                <w:sz w:val="28"/>
                <w:szCs w:val="28"/>
              </w:rPr>
              <w:t>Bureau des services à la jeunesse d’Ottawa</w:t>
            </w:r>
          </w:p>
          <w:p w14:paraId="460854F4" w14:textId="4ADE6458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 xml:space="preserve">Entretiens avec </w:t>
            </w:r>
            <w:r w:rsidR="004300A3" w:rsidRPr="004300A3">
              <w:rPr>
                <w:rFonts w:ascii="Arial" w:eastAsia="ＭＳ 明朝" w:hAnsi="Arial" w:cs="Arial"/>
                <w:sz w:val="28"/>
                <w:szCs w:val="28"/>
              </w:rPr>
              <w:t>Sean Perrault, éducateur spécialisé</w:t>
            </w:r>
          </w:p>
        </w:tc>
      </w:tr>
    </w:tbl>
    <w:tbl>
      <w:tblPr>
        <w:tblStyle w:val="Listeclaire-Accent51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614CDA" w:rsidRPr="00614CDA" w14:paraId="258146A4" w14:textId="77777777" w:rsidTr="00614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32864" w14:textId="77777777" w:rsidR="00614CDA" w:rsidRPr="00614CDA" w:rsidRDefault="00614CDA" w:rsidP="00614CDA">
            <w:pPr>
              <w:spacing w:before="60" w:after="60"/>
              <w:jc w:val="center"/>
              <w:rPr>
                <w:rFonts w:ascii="Arial" w:eastAsia="ＭＳ 明朝" w:hAnsi="Arial" w:cs="Arial"/>
                <w:sz w:val="28"/>
                <w:szCs w:val="28"/>
              </w:rPr>
            </w:pPr>
            <w:r w:rsidRPr="00614CDA">
              <w:rPr>
                <w:rFonts w:ascii="Arial" w:eastAsia="ＭＳ 明朝" w:hAnsi="Arial" w:cs="Arial"/>
                <w:sz w:val="28"/>
                <w:szCs w:val="28"/>
              </w:rPr>
              <w:t>Stratégies pédagogiques</w:t>
            </w:r>
          </w:p>
        </w:tc>
      </w:tr>
    </w:tbl>
    <w:tbl>
      <w:tblPr>
        <w:tblStyle w:val="Grille"/>
        <w:tblpPr w:leftFromText="141" w:rightFromText="141" w:vertAnchor="text" w:tblpXSpec="righ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69"/>
        <w:gridCol w:w="1870"/>
        <w:gridCol w:w="1870"/>
        <w:gridCol w:w="7613"/>
      </w:tblGrid>
      <w:tr w:rsidR="00614CDA" w:rsidRPr="00614CDA" w14:paraId="245A1015" w14:textId="77777777" w:rsidTr="00A239EE">
        <w:trPr>
          <w:tblHeader/>
        </w:trPr>
        <w:tc>
          <w:tcPr>
            <w:tcW w:w="707" w:type="pct"/>
            <w:shd w:val="clear" w:color="auto" w:fill="CCFFFF"/>
          </w:tcPr>
          <w:p w14:paraId="6B7FD1E6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Situation abordée</w:t>
            </w:r>
          </w:p>
        </w:tc>
        <w:tc>
          <w:tcPr>
            <w:tcW w:w="707" w:type="pct"/>
            <w:shd w:val="clear" w:color="auto" w:fill="CCFFFF"/>
          </w:tcPr>
          <w:p w14:paraId="21A459F8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Séquences abordées</w:t>
            </w:r>
          </w:p>
        </w:tc>
        <w:tc>
          <w:tcPr>
            <w:tcW w:w="707" w:type="pct"/>
            <w:shd w:val="clear" w:color="auto" w:fill="CCFFFF"/>
          </w:tcPr>
          <w:p w14:paraId="391C4AD9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Contenu</w:t>
            </w:r>
          </w:p>
        </w:tc>
        <w:tc>
          <w:tcPr>
            <w:tcW w:w="2879" w:type="pct"/>
            <w:shd w:val="clear" w:color="auto" w:fill="CCFFFF"/>
          </w:tcPr>
          <w:p w14:paraId="0D7032D0" w14:textId="77777777" w:rsidR="00614CDA" w:rsidRPr="00614CDA" w:rsidRDefault="00614CDA" w:rsidP="00A239EE">
            <w:pPr>
              <w:spacing w:before="60" w:after="60"/>
              <w:jc w:val="center"/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Matériel didactique utilisé</w:t>
            </w:r>
          </w:p>
        </w:tc>
      </w:tr>
      <w:tr w:rsidR="00614CDA" w:rsidRPr="00614CDA" w14:paraId="72A9CA09" w14:textId="77777777" w:rsidTr="00A239EE">
        <w:tc>
          <w:tcPr>
            <w:tcW w:w="707" w:type="pct"/>
            <w:vMerge w:val="restart"/>
            <w:vAlign w:val="center"/>
          </w:tcPr>
          <w:p w14:paraId="2E27CA26" w14:textId="36F5907A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</w:rPr>
              <w:t xml:space="preserve">Rencontres </w:t>
            </w:r>
            <w:r w:rsidR="004300A3">
              <w:rPr>
                <w:rFonts w:ascii="Arial" w:eastAsia="ＭＳ 明朝" w:hAnsi="Arial" w:cs="Arial"/>
              </w:rPr>
              <w:t>avec Sean Perrault</w:t>
            </w:r>
            <w:r w:rsidRPr="00614CDA">
              <w:rPr>
                <w:rFonts w:ascii="Arial" w:eastAsia="ＭＳ 明朝" w:hAnsi="Arial" w:cs="Arial"/>
              </w:rPr>
              <w:t xml:space="preserve">, </w:t>
            </w:r>
            <w:r w:rsidR="004300A3">
              <w:rPr>
                <w:rFonts w:ascii="Arial" w:eastAsia="ＭＳ 明朝" w:hAnsi="Arial" w:cs="Arial"/>
              </w:rPr>
              <w:t>éducateur spécialisé</w:t>
            </w:r>
            <w:r w:rsidRPr="00614CDA">
              <w:rPr>
                <w:rFonts w:ascii="Arial" w:eastAsia="ＭＳ 明朝" w:hAnsi="Arial" w:cs="Arial"/>
              </w:rPr>
              <w:t xml:space="preserve"> </w:t>
            </w:r>
            <w:r w:rsidR="004300A3">
              <w:rPr>
                <w:rFonts w:ascii="Arial" w:eastAsia="ＭＳ 明朝" w:hAnsi="Arial" w:cs="Arial"/>
              </w:rPr>
              <w:t>au Bureau des services à la jeunesse d’Ottawa</w:t>
            </w:r>
          </w:p>
        </w:tc>
        <w:tc>
          <w:tcPr>
            <w:tcW w:w="707" w:type="pct"/>
          </w:tcPr>
          <w:p w14:paraId="4782E973" w14:textId="3BFEBF16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D35799">
              <w:rPr>
                <w:rFonts w:ascii="Arial" w:eastAsia="ＭＳ 明朝" w:hAnsi="Arial" w:cs="Arial"/>
                <w:b/>
                <w:i/>
              </w:rPr>
              <w:t xml:space="preserve"> 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Pr="00614CDA">
              <w:rPr>
                <w:rFonts w:ascii="Arial" w:eastAsia="ＭＳ 明朝" w:hAnsi="Arial" w:cs="Arial"/>
                <w:i/>
              </w:rPr>
              <w:t xml:space="preserve"> </w:t>
            </w:r>
            <w:r w:rsidRPr="00D35799">
              <w:rPr>
                <w:rFonts w:ascii="Arial" w:eastAsia="ＭＳ 明朝" w:hAnsi="Arial" w:cs="Arial"/>
                <w:b/>
                <w:i/>
              </w:rPr>
              <w:t>« </w:t>
            </w:r>
            <w:r w:rsidR="00D35799" w:rsidRPr="00D35799">
              <w:rPr>
                <w:rFonts w:ascii="Arial" w:eastAsia="ＭＳ 明朝" w:hAnsi="Arial" w:cs="Arial"/>
                <w:b/>
                <w:i/>
              </w:rPr>
              <w:t>Rôle, clientèle et partenaires</w:t>
            </w:r>
            <w:r w:rsidRPr="00D35799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0442ABDC" w14:textId="6A0C8761" w:rsidR="00614CDA" w:rsidRPr="00614CDA" w:rsidRDefault="00D35799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3 min 07</w:t>
            </w:r>
            <w:r w:rsidR="00614CDA" w:rsidRPr="00614CDA">
              <w:rPr>
                <w:rFonts w:ascii="Arial" w:eastAsia="ＭＳ 明朝" w:hAnsi="Arial" w:cs="Arial"/>
                <w:sz w:val="20"/>
                <w:szCs w:val="20"/>
              </w:rPr>
              <w:t> s)</w:t>
            </w:r>
          </w:p>
        </w:tc>
        <w:tc>
          <w:tcPr>
            <w:tcW w:w="707" w:type="pct"/>
          </w:tcPr>
          <w:p w14:paraId="0CC7CA8D" w14:textId="09B56540" w:rsidR="00614CDA" w:rsidRPr="00614CDA" w:rsidRDefault="00D35799" w:rsidP="00A239EE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L’éducateur</w:t>
            </w:r>
            <w:r w:rsidR="00614CDA" w:rsidRPr="00614CDA">
              <w:rPr>
                <w:rFonts w:ascii="Arial" w:eastAsia="ＭＳ 明朝" w:hAnsi="Arial" w:cs="Arial"/>
              </w:rPr>
              <w:t xml:space="preserve"> aborde </w:t>
            </w:r>
            <w:r>
              <w:rPr>
                <w:rFonts w:ascii="Arial" w:eastAsia="ＭＳ 明朝" w:hAnsi="Arial" w:cs="Arial"/>
              </w:rPr>
              <w:t>son</w:t>
            </w:r>
            <w:r w:rsidR="00614CDA" w:rsidRPr="00614CDA">
              <w:rPr>
                <w:rFonts w:ascii="Arial" w:eastAsia="ＭＳ 明朝" w:hAnsi="Arial" w:cs="Arial"/>
              </w:rPr>
              <w:t xml:space="preserve"> rôle</w:t>
            </w:r>
            <w:r>
              <w:rPr>
                <w:rFonts w:ascii="Arial" w:eastAsia="ＭＳ 明朝" w:hAnsi="Arial" w:cs="Arial"/>
              </w:rPr>
              <w:t>, sa clientèle</w:t>
            </w:r>
            <w:r w:rsidR="00614CDA" w:rsidRPr="00614CDA">
              <w:rPr>
                <w:rFonts w:ascii="Arial" w:eastAsia="ＭＳ 明朝" w:hAnsi="Arial" w:cs="Arial"/>
              </w:rPr>
              <w:t xml:space="preserve"> </w:t>
            </w:r>
            <w:r>
              <w:rPr>
                <w:rFonts w:ascii="Arial" w:eastAsia="ＭＳ 明朝" w:hAnsi="Arial" w:cs="Arial"/>
              </w:rPr>
              <w:t>et les partenaires dans la communauté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879" w:type="pct"/>
          </w:tcPr>
          <w:p w14:paraId="67B23C77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3BC698BE" w14:textId="77777777" w:rsidR="00614CDA" w:rsidRPr="00614CDA" w:rsidRDefault="00614CDA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Observation libre</w:t>
            </w:r>
          </w:p>
          <w:p w14:paraId="4D2FB687" w14:textId="77777777" w:rsidR="00614CDA" w:rsidRDefault="00614CDA" w:rsidP="00A239EE">
            <w:pPr>
              <w:contextualSpacing/>
              <w:rPr>
                <w:rFonts w:ascii="Arial" w:eastAsia="ＭＳ 明朝" w:hAnsi="Arial" w:cs="Arial"/>
              </w:rPr>
            </w:pPr>
          </w:p>
          <w:p w14:paraId="3A7A294B" w14:textId="77777777" w:rsidR="001835F1" w:rsidRPr="00614CDA" w:rsidRDefault="001835F1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785E9114" w14:textId="77777777" w:rsidR="001835F1" w:rsidRPr="001835F1" w:rsidRDefault="001835F1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Rôle de l’éducateur spécialisé</w:t>
            </w:r>
          </w:p>
          <w:p w14:paraId="37D9333F" w14:textId="77777777" w:rsidR="001835F1" w:rsidRPr="001835F1" w:rsidRDefault="001835F1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Clientèle de l’éducateur spécialisé</w:t>
            </w:r>
          </w:p>
          <w:p w14:paraId="16673BB9" w14:textId="77777777" w:rsidR="001835F1" w:rsidRPr="00442F2D" w:rsidRDefault="001835F1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Partenaires de l’éducateur spécialisé dans la communauté</w:t>
            </w:r>
          </w:p>
          <w:p w14:paraId="2CE89BB2" w14:textId="02BFB163" w:rsidR="00442F2D" w:rsidRPr="00614CDA" w:rsidRDefault="00442F2D" w:rsidP="00A239EE">
            <w:pPr>
              <w:contextualSpacing/>
              <w:rPr>
                <w:rFonts w:ascii="Arial" w:eastAsia="ＭＳ 明朝" w:hAnsi="Arial" w:cs="Arial"/>
              </w:rPr>
            </w:pPr>
          </w:p>
        </w:tc>
      </w:tr>
      <w:tr w:rsidR="00614CDA" w:rsidRPr="00614CDA" w14:paraId="62A253E7" w14:textId="77777777" w:rsidTr="00A239EE">
        <w:trPr>
          <w:trHeight w:val="1201"/>
        </w:trPr>
        <w:tc>
          <w:tcPr>
            <w:tcW w:w="707" w:type="pct"/>
            <w:vMerge/>
          </w:tcPr>
          <w:p w14:paraId="76B8BB52" w14:textId="228FC5BD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07" w:type="pct"/>
          </w:tcPr>
          <w:p w14:paraId="27F722F7" w14:textId="4EF5B228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 w:rsidR="001835F1">
              <w:rPr>
                <w:rFonts w:ascii="Arial" w:eastAsia="ＭＳ 明朝" w:hAnsi="Arial" w:cs="Arial"/>
                <w:b/>
                <w:i/>
              </w:rPr>
              <w:t xml:space="preserve"> 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 « </w:t>
            </w:r>
            <w:r w:rsidR="00442F2D">
              <w:rPr>
                <w:rFonts w:ascii="Arial" w:eastAsia="ＭＳ 明朝" w:hAnsi="Arial" w:cs="Arial"/>
                <w:b/>
                <w:i/>
              </w:rPr>
              <w:t>Un intervenant chanceux</w:t>
            </w:r>
            <w:r w:rsidRPr="00614CDA">
              <w:rPr>
                <w:rFonts w:ascii="Arial" w:eastAsia="ＭＳ 明朝" w:hAnsi="Arial" w:cs="Arial"/>
                <w:b/>
                <w:i/>
              </w:rPr>
              <w:t> »</w:t>
            </w:r>
          </w:p>
          <w:p w14:paraId="4F05200B" w14:textId="0242A614" w:rsidR="00614CDA" w:rsidRPr="00614CDA" w:rsidRDefault="00487839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5 min 22 </w:t>
            </w:r>
            <w:r w:rsidR="00971224">
              <w:rPr>
                <w:rFonts w:ascii="Arial" w:eastAsia="ＭＳ 明朝" w:hAnsi="Arial" w:cs="Arial"/>
                <w:sz w:val="20"/>
                <w:szCs w:val="20"/>
              </w:rPr>
              <w:t>s</w:t>
            </w:r>
            <w:r w:rsidR="00442F2D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707" w:type="pct"/>
          </w:tcPr>
          <w:p w14:paraId="12AB1653" w14:textId="0EFA0E29" w:rsidR="00614CDA" w:rsidRPr="00614CDA" w:rsidRDefault="00BF6C89" w:rsidP="00A239EE">
            <w:pPr>
              <w:rPr>
                <w:rFonts w:ascii="Arial" w:eastAsia="ＭＳ 明朝" w:hAnsi="Arial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L’éducateur évoque la chance de créer un lien avec la clientèle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879" w:type="pct"/>
          </w:tcPr>
          <w:p w14:paraId="63CD8E8B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5FE26501" w14:textId="0CE424EA" w:rsidR="00614CDA" w:rsidRPr="00614CDA" w:rsidRDefault="00614CDA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Observation libre</w:t>
            </w:r>
          </w:p>
          <w:p w14:paraId="2768DFE7" w14:textId="77777777" w:rsidR="00442F2D" w:rsidRDefault="00442F2D" w:rsidP="00A239EE">
            <w:pPr>
              <w:rPr>
                <w:rFonts w:ascii="Arial" w:eastAsia="ＭＳ 明朝" w:hAnsi="Arial" w:cs="Arial"/>
                <w:b/>
              </w:rPr>
            </w:pPr>
          </w:p>
          <w:p w14:paraId="2A1F2E14" w14:textId="77777777" w:rsidR="00442F2D" w:rsidRPr="00614CDA" w:rsidRDefault="00442F2D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09378392" w14:textId="783B4F89" w:rsidR="00442F2D" w:rsidRPr="00614CDA" w:rsidRDefault="00442F2D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Création d’un lien et effet sur la clientèle</w:t>
            </w:r>
          </w:p>
          <w:p w14:paraId="013B7FCC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</w:tr>
      <w:tr w:rsidR="003A5E3A" w:rsidRPr="00614CDA" w14:paraId="54E897ED" w14:textId="77777777" w:rsidTr="00A239EE">
        <w:tc>
          <w:tcPr>
            <w:tcW w:w="707" w:type="pct"/>
            <w:vMerge/>
          </w:tcPr>
          <w:p w14:paraId="4B52CE04" w14:textId="77777777" w:rsidR="003A5E3A" w:rsidRPr="00614CDA" w:rsidRDefault="003A5E3A" w:rsidP="00A239EE">
            <w:pPr>
              <w:rPr>
                <w:rFonts w:eastAsia="ＭＳ 明朝" w:cs="Arial"/>
              </w:rPr>
            </w:pPr>
          </w:p>
        </w:tc>
        <w:tc>
          <w:tcPr>
            <w:tcW w:w="707" w:type="pct"/>
          </w:tcPr>
          <w:p w14:paraId="2C940709" w14:textId="50F2AB43" w:rsidR="003A5E3A" w:rsidRDefault="00064FE2" w:rsidP="00A239EE">
            <w:pPr>
              <w:rPr>
                <w:rFonts w:ascii="Arial" w:eastAsia="ＭＳ 明朝" w:hAnsi="Arial" w:cs="Arial"/>
                <w:b/>
                <w:i/>
              </w:rPr>
            </w:pPr>
            <w:r w:rsidRPr="00614CDA">
              <w:rPr>
                <w:rFonts w:ascii="Arial" w:eastAsia="ＭＳ 明朝" w:hAnsi="Arial" w:cs="Arial"/>
                <w:b/>
                <w:i/>
              </w:rPr>
              <w:t>Capsule</w:t>
            </w:r>
            <w:r>
              <w:rPr>
                <w:rFonts w:ascii="Arial" w:eastAsia="ＭＳ 明朝" w:hAnsi="Arial" w:cs="Arial"/>
                <w:b/>
                <w:i/>
              </w:rPr>
              <w:t xml:space="preserve"> III</w:t>
            </w:r>
            <w:r w:rsidRPr="00614CDA">
              <w:rPr>
                <w:rFonts w:ascii="Arial" w:eastAsia="ＭＳ 明朝" w:hAnsi="Arial" w:cs="Arial"/>
                <w:b/>
                <w:i/>
              </w:rPr>
              <w:t> :</w:t>
            </w:r>
            <w:r w:rsidR="0013536C">
              <w:rPr>
                <w:rFonts w:ascii="Arial" w:eastAsia="ＭＳ 明朝" w:hAnsi="Arial" w:cs="Arial"/>
                <w:b/>
                <w:i/>
              </w:rPr>
              <w:t xml:space="preserve"> « Dans la communauté : ce</w:t>
            </w:r>
            <w:r>
              <w:rPr>
                <w:rFonts w:ascii="Arial" w:eastAsia="ＭＳ 明朝" w:hAnsi="Arial" w:cs="Arial"/>
                <w:b/>
                <w:i/>
              </w:rPr>
              <w:t xml:space="preserve"> qui nuit, ce qui aide » - Les approches</w:t>
            </w:r>
          </w:p>
          <w:p w14:paraId="42B6458C" w14:textId="56E1FA83" w:rsidR="00C834FB" w:rsidRPr="00614CDA" w:rsidRDefault="00D72BF1" w:rsidP="00A239EE">
            <w:pPr>
              <w:rPr>
                <w:rFonts w:eastAsia="ＭＳ 明朝" w:cs="Arial"/>
                <w:b/>
                <w:i/>
                <w:color w:val="000000"/>
              </w:rPr>
            </w:pPr>
            <w:r>
              <w:rPr>
                <w:rFonts w:ascii="Arial" w:eastAsia="ＭＳ 明朝" w:hAnsi="Arial" w:cs="Arial"/>
                <w:sz w:val="20"/>
                <w:szCs w:val="20"/>
              </w:rPr>
              <w:t>(durée 8 m </w:t>
            </w:r>
            <w:r w:rsidR="00C834FB">
              <w:rPr>
                <w:rFonts w:ascii="Arial" w:eastAsia="ＭＳ 明朝" w:hAnsi="Arial" w:cs="Arial"/>
                <w:sz w:val="20"/>
                <w:szCs w:val="20"/>
              </w:rPr>
              <w:t>19</w:t>
            </w:r>
            <w:r w:rsidR="00971224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="00C834FB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707" w:type="pct"/>
          </w:tcPr>
          <w:p w14:paraId="6596DA62" w14:textId="29FE006E" w:rsidR="003A5E3A" w:rsidRPr="00614CDA" w:rsidRDefault="00C834FB" w:rsidP="00A239EE">
            <w:pPr>
              <w:rPr>
                <w:rFonts w:eastAsia="ＭＳ 明朝" w:cs="Arial"/>
                <w:color w:val="000000"/>
              </w:rPr>
            </w:pPr>
            <w:r>
              <w:rPr>
                <w:rFonts w:ascii="Arial" w:eastAsia="ＭＳ 明朝" w:hAnsi="Arial" w:cs="Arial"/>
              </w:rPr>
              <w:t>L’éducateur nomme les facteurs nuisibles ou de protection, l’auto-analyse et les lieux d’intervention</w:t>
            </w:r>
            <w:r w:rsidR="00B56083">
              <w:rPr>
                <w:rFonts w:ascii="Arial" w:eastAsia="ＭＳ 明朝" w:hAnsi="Arial" w:cs="Arial"/>
              </w:rPr>
              <w:t>.</w:t>
            </w:r>
          </w:p>
        </w:tc>
        <w:tc>
          <w:tcPr>
            <w:tcW w:w="2879" w:type="pct"/>
          </w:tcPr>
          <w:p w14:paraId="6F1D8BD1" w14:textId="77777777" w:rsidR="00C834FB" w:rsidRPr="00614CDA" w:rsidRDefault="00C834FB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5B89CB22" w14:textId="2B0FE567" w:rsidR="00C834FB" w:rsidRPr="00614CDA" w:rsidRDefault="00C834FB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Analyse des facteurs</w:t>
            </w:r>
          </w:p>
          <w:p w14:paraId="3DA0BB69" w14:textId="77777777" w:rsidR="003A5E3A" w:rsidRDefault="003A5E3A" w:rsidP="00A239EE">
            <w:pPr>
              <w:rPr>
                <w:rFonts w:eastAsia="ＭＳ 明朝" w:cs="Arial"/>
                <w:b/>
              </w:rPr>
            </w:pPr>
          </w:p>
          <w:p w14:paraId="5A427B04" w14:textId="77777777" w:rsidR="00C834FB" w:rsidRPr="00614CDA" w:rsidRDefault="00C834FB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43763A6B" w14:textId="08C15FC0" w:rsidR="00C834FB" w:rsidRDefault="00AB466C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Auto-observation</w:t>
            </w:r>
          </w:p>
          <w:p w14:paraId="7D82F04F" w14:textId="30603645" w:rsidR="00AB466C" w:rsidRPr="00614CDA" w:rsidRDefault="00AB466C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Lieux d’intervention informels</w:t>
            </w:r>
          </w:p>
          <w:p w14:paraId="6744C93A" w14:textId="77777777" w:rsidR="00C834FB" w:rsidRPr="00614CDA" w:rsidRDefault="00C834FB" w:rsidP="00A239EE">
            <w:pPr>
              <w:rPr>
                <w:rFonts w:eastAsia="ＭＳ 明朝" w:cs="Arial"/>
                <w:b/>
              </w:rPr>
            </w:pPr>
          </w:p>
        </w:tc>
      </w:tr>
      <w:tr w:rsidR="00614CDA" w:rsidRPr="00614CDA" w14:paraId="09543BE2" w14:textId="77777777" w:rsidTr="00A239EE">
        <w:tc>
          <w:tcPr>
            <w:tcW w:w="707" w:type="pct"/>
            <w:vMerge/>
          </w:tcPr>
          <w:p w14:paraId="0879B7DD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707" w:type="pct"/>
          </w:tcPr>
          <w:p w14:paraId="408F4A4A" w14:textId="2A529823" w:rsidR="00614CDA" w:rsidRPr="00614CDA" w:rsidRDefault="00614CDA" w:rsidP="00A239EE">
            <w:pPr>
              <w:rPr>
                <w:rFonts w:ascii="Arial" w:eastAsia="ＭＳ 明朝" w:hAnsi="Arial" w:cs="Arial"/>
                <w:b/>
                <w:i/>
                <w:color w:val="000000"/>
              </w:rPr>
            </w:pP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Capsule</w:t>
            </w:r>
            <w:r w:rsidR="002E71CA">
              <w:rPr>
                <w:rFonts w:ascii="Arial" w:eastAsia="ＭＳ 明朝" w:hAnsi="Arial" w:cs="Arial"/>
                <w:b/>
                <w:i/>
                <w:color w:val="000000"/>
              </w:rPr>
              <w:t xml:space="preserve"> IV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: « </w:t>
            </w:r>
            <w:r w:rsidR="002E71CA">
              <w:rPr>
                <w:rFonts w:ascii="Arial" w:eastAsia="ＭＳ 明朝" w:hAnsi="Arial" w:cs="Arial"/>
                <w:b/>
                <w:i/>
                <w:color w:val="000000"/>
              </w:rPr>
              <w:t>Les mythes et la réalité</w:t>
            </w:r>
            <w:r w:rsidRPr="00614CDA">
              <w:rPr>
                <w:rFonts w:ascii="Arial" w:eastAsia="ＭＳ 明朝" w:hAnsi="Arial" w:cs="Arial"/>
                <w:b/>
                <w:i/>
                <w:color w:val="000000"/>
              </w:rPr>
              <w:t> »</w:t>
            </w:r>
          </w:p>
          <w:p w14:paraId="5421CAC7" w14:textId="248E0C01" w:rsidR="00614CDA" w:rsidRPr="00614CDA" w:rsidRDefault="00614CDA" w:rsidP="00A239EE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614CDA">
              <w:rPr>
                <w:rFonts w:ascii="Arial" w:eastAsia="ＭＳ 明朝" w:hAnsi="Arial" w:cs="Arial"/>
                <w:sz w:val="20"/>
                <w:szCs w:val="20"/>
              </w:rPr>
              <w:t xml:space="preserve">(durée </w:t>
            </w:r>
            <w:r w:rsidR="002E71CA">
              <w:rPr>
                <w:rFonts w:ascii="Arial" w:eastAsia="ＭＳ 明朝" w:hAnsi="Arial" w:cs="Arial"/>
                <w:sz w:val="20"/>
                <w:szCs w:val="20"/>
              </w:rPr>
              <w:t>8</w:t>
            </w:r>
            <w:r w:rsidR="00D72BF1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min</w:t>
            </w:r>
            <w:r w:rsidR="00D72BF1">
              <w:rPr>
                <w:rFonts w:ascii="Arial" w:eastAsia="ＭＳ 明朝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  <w:r w:rsidR="002E71CA">
              <w:rPr>
                <w:rFonts w:ascii="Arial" w:eastAsia="ＭＳ 明朝" w:hAnsi="Arial" w:cs="Arial"/>
                <w:sz w:val="20"/>
                <w:szCs w:val="20"/>
              </w:rPr>
              <w:t>47</w:t>
            </w:r>
            <w:r w:rsidR="00971224">
              <w:rPr>
                <w:rFonts w:ascii="Arial" w:eastAsia="ＭＳ 明朝" w:hAnsi="Arial" w:cs="Arial"/>
                <w:sz w:val="20"/>
                <w:szCs w:val="20"/>
              </w:rPr>
              <w:t> s</w:t>
            </w:r>
            <w:r w:rsidRPr="00614CDA">
              <w:rPr>
                <w:rFonts w:ascii="Arial" w:eastAsia="ＭＳ 明朝" w:hAnsi="Arial" w:cs="Arial"/>
                <w:sz w:val="20"/>
                <w:szCs w:val="20"/>
              </w:rPr>
              <w:t>)</w:t>
            </w:r>
          </w:p>
        </w:tc>
        <w:tc>
          <w:tcPr>
            <w:tcW w:w="707" w:type="pct"/>
          </w:tcPr>
          <w:p w14:paraId="2F6D2297" w14:textId="10634505" w:rsidR="00614CDA" w:rsidRPr="00614CDA" w:rsidRDefault="00A239EE" w:rsidP="00A239EE">
            <w:pPr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color w:val="000000"/>
              </w:rPr>
              <w:t>L’éducateur présente les mythes véhiculés et la réalité en milieu communautaire</w:t>
            </w:r>
            <w:r w:rsidR="00B56083">
              <w:rPr>
                <w:rFonts w:ascii="Arial" w:eastAsia="ＭＳ 明朝" w:hAnsi="Arial" w:cs="Arial"/>
                <w:color w:val="000000"/>
              </w:rPr>
              <w:t>.</w:t>
            </w:r>
          </w:p>
        </w:tc>
        <w:tc>
          <w:tcPr>
            <w:tcW w:w="2879" w:type="pct"/>
          </w:tcPr>
          <w:p w14:paraId="76B92FEA" w14:textId="77777777" w:rsidR="00A239EE" w:rsidRPr="00614CDA" w:rsidRDefault="00A239EE" w:rsidP="00A239EE">
            <w:pPr>
              <w:rPr>
                <w:rFonts w:ascii="Arial" w:eastAsia="ＭＳ 明朝" w:hAnsi="Arial" w:cs="Arial"/>
                <w:b/>
              </w:rPr>
            </w:pPr>
            <w:r w:rsidRPr="00614CDA">
              <w:rPr>
                <w:rFonts w:ascii="Arial" w:eastAsia="ＭＳ 明朝" w:hAnsi="Arial" w:cs="Arial"/>
                <w:b/>
              </w:rPr>
              <w:t>QUESTIONS À DÉVELOPPEMENT</w:t>
            </w:r>
          </w:p>
          <w:p w14:paraId="39700BA2" w14:textId="01B20D02" w:rsidR="00A239EE" w:rsidRPr="00614CDA" w:rsidRDefault="00A239EE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</w:rPr>
            </w:pPr>
            <w:r>
              <w:rPr>
                <w:rFonts w:ascii="Arial" w:eastAsia="ＭＳ 明朝" w:hAnsi="Arial" w:cs="Arial"/>
                <w:b/>
              </w:rPr>
              <w:t>Mythes véhiculés</w:t>
            </w:r>
          </w:p>
          <w:p w14:paraId="59BB04EF" w14:textId="77777777" w:rsidR="00A239EE" w:rsidRDefault="00A239EE" w:rsidP="00A239EE">
            <w:pPr>
              <w:rPr>
                <w:rFonts w:ascii="Arial" w:eastAsia="ＭＳ 明朝" w:hAnsi="Arial" w:cs="Arial"/>
                <w:b/>
              </w:rPr>
            </w:pPr>
          </w:p>
          <w:p w14:paraId="08D4BCB9" w14:textId="77777777" w:rsidR="00614CDA" w:rsidRPr="00614CDA" w:rsidRDefault="00614CDA" w:rsidP="00A239EE">
            <w:pPr>
              <w:rPr>
                <w:rFonts w:ascii="Arial" w:eastAsia="ＭＳ 明朝" w:hAnsi="Arial" w:cs="Arial"/>
              </w:rPr>
            </w:pPr>
            <w:r w:rsidRPr="00614CDA">
              <w:rPr>
                <w:rFonts w:ascii="Arial" w:eastAsia="ＭＳ 明朝" w:hAnsi="Arial" w:cs="Arial"/>
                <w:b/>
              </w:rPr>
              <w:t>GRILLES D’OBSERVATION</w:t>
            </w:r>
          </w:p>
          <w:p w14:paraId="6458ABB8" w14:textId="3811B5ED" w:rsidR="00614CDA" w:rsidRPr="00614CDA" w:rsidRDefault="00A239EE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  <w:b/>
                <w:i/>
              </w:rPr>
            </w:pPr>
            <w:r>
              <w:rPr>
                <w:rFonts w:ascii="Arial" w:eastAsia="ＭＳ 明朝" w:hAnsi="Arial" w:cs="Arial"/>
                <w:b/>
              </w:rPr>
              <w:t>Étude des services offerts</w:t>
            </w:r>
          </w:p>
          <w:p w14:paraId="54BA4775" w14:textId="00F6BED9" w:rsidR="00614CDA" w:rsidRPr="00A239EE" w:rsidRDefault="00A239EE" w:rsidP="00A239EE">
            <w:pPr>
              <w:numPr>
                <w:ilvl w:val="0"/>
                <w:numId w:val="1"/>
              </w:numPr>
              <w:contextualSpacing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  <w:b/>
              </w:rPr>
              <w:t>Analyse du profil recherché</w:t>
            </w:r>
          </w:p>
        </w:tc>
      </w:tr>
    </w:tbl>
    <w:p w14:paraId="7F8A018C" w14:textId="15043A0A" w:rsidR="006D0EFB" w:rsidRPr="00A239EE" w:rsidRDefault="006D0EFB">
      <w:pPr>
        <w:rPr>
          <w:sz w:val="4"/>
          <w:szCs w:val="4"/>
        </w:rPr>
      </w:pPr>
    </w:p>
    <w:sectPr w:rsidR="006D0EFB" w:rsidRPr="00A239EE" w:rsidSect="00614CDA">
      <w:pgSz w:w="15842" w:h="12242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73"/>
    <w:multiLevelType w:val="hybridMultilevel"/>
    <w:tmpl w:val="0666D7AC"/>
    <w:lvl w:ilvl="0" w:tplc="A40A8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A"/>
    <w:rsid w:val="00064FE2"/>
    <w:rsid w:val="0013536C"/>
    <w:rsid w:val="001835F1"/>
    <w:rsid w:val="002704FF"/>
    <w:rsid w:val="002E71CA"/>
    <w:rsid w:val="0032726C"/>
    <w:rsid w:val="003A5E3A"/>
    <w:rsid w:val="004300A3"/>
    <w:rsid w:val="00442F2D"/>
    <w:rsid w:val="0046350B"/>
    <w:rsid w:val="00487839"/>
    <w:rsid w:val="005F0245"/>
    <w:rsid w:val="00614CDA"/>
    <w:rsid w:val="006D0EFB"/>
    <w:rsid w:val="00971224"/>
    <w:rsid w:val="00A239EE"/>
    <w:rsid w:val="00AB466C"/>
    <w:rsid w:val="00B56083"/>
    <w:rsid w:val="00B75566"/>
    <w:rsid w:val="00BF6C89"/>
    <w:rsid w:val="00C834FB"/>
    <w:rsid w:val="00D35799"/>
    <w:rsid w:val="00D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9BA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ghtList-Accent11">
    <w:name w:val="Light List - Accent 11"/>
    <w:basedOn w:val="TableauNormal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lle">
    <w:name w:val="Table Grid"/>
    <w:basedOn w:val="TableauNormal"/>
    <w:uiPriority w:val="59"/>
    <w:rsid w:val="00614CDA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614CDA"/>
    <w:rPr>
      <w:rFonts w:ascii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5">
    <w:name w:val="Light List Accent 5"/>
    <w:basedOn w:val="TableauNormal"/>
    <w:uiPriority w:val="61"/>
    <w:rsid w:val="00614CD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1255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Daniélou</dc:creator>
  <cp:keywords/>
  <dc:description/>
  <cp:lastModifiedBy>Nathalie Daniélou</cp:lastModifiedBy>
  <cp:revision>9</cp:revision>
  <dcterms:created xsi:type="dcterms:W3CDTF">2015-12-03T18:59:00Z</dcterms:created>
  <dcterms:modified xsi:type="dcterms:W3CDTF">2015-12-05T16:13:00Z</dcterms:modified>
</cp:coreProperties>
</file>